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spacing w:line="48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荆州市优秀建筑企业评分标准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ascii="黑体" w:hAnsi="黑体" w:eastAsia="黑体"/>
          <w:sz w:val="32"/>
          <w:szCs w:val="32"/>
        </w:rPr>
        <w:t>一、产值指标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ascii="黑体" w:hAnsi="黑体" w:eastAsia="黑体"/>
          <w:sz w:val="32"/>
          <w:szCs w:val="32"/>
        </w:rPr>
        <w:t>35分</w:t>
      </w:r>
      <w:r>
        <w:rPr>
          <w:rFonts w:hint="eastAsia" w:ascii="黑体" w:hAnsi="黑体" w:eastAsia="黑体"/>
          <w:sz w:val="32"/>
          <w:szCs w:val="32"/>
        </w:rPr>
        <w:t>）</w:t>
      </w:r>
    </w:p>
    <w:p>
      <w:pPr>
        <w:spacing w:line="560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　　</w:t>
      </w:r>
      <w:r>
        <w:rPr>
          <w:rFonts w:hint="eastAsia" w:ascii="仿宋_GB2312" w:hAnsi="Times New Roman" w:eastAsia="仿宋_GB2312"/>
          <w:sz w:val="32"/>
          <w:szCs w:val="32"/>
        </w:rPr>
        <w:t>（一）2019</w:t>
      </w:r>
      <w:r>
        <w:rPr>
          <w:rFonts w:ascii="仿宋_GB2312" w:hAnsi="Times New Roman" w:eastAsia="仿宋_GB2312"/>
          <w:sz w:val="32"/>
          <w:szCs w:val="32"/>
        </w:rPr>
        <w:t>年建筑业总产值完成</w:t>
      </w:r>
      <w:r>
        <w:rPr>
          <w:rFonts w:hint="eastAsia" w:ascii="仿宋_GB2312" w:hAnsi="Times New Roman" w:eastAsia="仿宋_GB2312"/>
          <w:sz w:val="32"/>
          <w:szCs w:val="32"/>
        </w:rPr>
        <w:t>3</w:t>
      </w:r>
      <w:r>
        <w:rPr>
          <w:rFonts w:ascii="仿宋_GB2312" w:hAnsi="Times New Roman" w:eastAsia="仿宋_GB2312"/>
          <w:sz w:val="32"/>
          <w:szCs w:val="32"/>
        </w:rPr>
        <w:t>亿元得</w:t>
      </w:r>
      <w:r>
        <w:rPr>
          <w:rFonts w:hint="eastAsia" w:ascii="仿宋_GB2312" w:hAnsi="Times New Roman" w:eastAsia="仿宋_GB2312"/>
          <w:sz w:val="32"/>
          <w:szCs w:val="32"/>
        </w:rPr>
        <w:t>15</w:t>
      </w:r>
      <w:r>
        <w:rPr>
          <w:rFonts w:ascii="仿宋_GB2312" w:hAnsi="Times New Roman" w:eastAsia="仿宋_GB2312"/>
          <w:sz w:val="32"/>
          <w:szCs w:val="32"/>
        </w:rPr>
        <w:t>分，超过</w:t>
      </w:r>
      <w:r>
        <w:rPr>
          <w:rFonts w:hint="eastAsia" w:ascii="仿宋_GB2312" w:hAnsi="Times New Roman" w:eastAsia="仿宋_GB2312"/>
          <w:sz w:val="32"/>
          <w:szCs w:val="32"/>
        </w:rPr>
        <w:t>3</w:t>
      </w:r>
      <w:r>
        <w:rPr>
          <w:rFonts w:ascii="仿宋_GB2312" w:hAnsi="Times New Roman" w:eastAsia="仿宋_GB2312"/>
          <w:sz w:val="32"/>
          <w:szCs w:val="32"/>
        </w:rPr>
        <w:t>亿元部分每增加1亿元加</w:t>
      </w:r>
      <w:r>
        <w:rPr>
          <w:rFonts w:hint="eastAsia" w:ascii="仿宋_GB2312" w:hAnsi="Times New Roman" w:eastAsia="仿宋_GB2312"/>
          <w:sz w:val="32"/>
          <w:szCs w:val="32"/>
        </w:rPr>
        <w:t>1</w:t>
      </w:r>
      <w:r>
        <w:rPr>
          <w:rFonts w:ascii="仿宋_GB2312" w:hAnsi="Times New Roman" w:eastAsia="仿宋_GB2312"/>
          <w:sz w:val="32"/>
          <w:szCs w:val="32"/>
        </w:rPr>
        <w:t>分。</w:t>
      </w:r>
    </w:p>
    <w:p>
      <w:pPr>
        <w:spacing w:line="560" w:lineRule="exact"/>
        <w:ind w:firstLine="652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（二）</w:t>
      </w:r>
      <w:r>
        <w:rPr>
          <w:rFonts w:ascii="仿宋_GB2312" w:hAnsi="Times New Roman" w:eastAsia="仿宋_GB2312"/>
          <w:sz w:val="32"/>
          <w:szCs w:val="32"/>
        </w:rPr>
        <w:t>市外施工</w:t>
      </w:r>
      <w:r>
        <w:rPr>
          <w:rFonts w:hint="eastAsia" w:ascii="仿宋_GB2312" w:hAnsi="Times New Roman" w:eastAsia="仿宋_GB2312"/>
          <w:sz w:val="32"/>
          <w:szCs w:val="32"/>
        </w:rPr>
        <w:t>2019年</w:t>
      </w:r>
      <w:r>
        <w:rPr>
          <w:rFonts w:ascii="仿宋_GB2312" w:hAnsi="Times New Roman" w:eastAsia="仿宋_GB2312"/>
          <w:sz w:val="32"/>
          <w:szCs w:val="32"/>
        </w:rPr>
        <w:t>产值占建筑业总产值比例达到10%以上得</w:t>
      </w:r>
      <w:r>
        <w:rPr>
          <w:rFonts w:hint="eastAsia" w:ascii="仿宋_GB2312" w:hAnsi="Times New Roman" w:eastAsia="仿宋_GB2312"/>
          <w:sz w:val="32"/>
          <w:szCs w:val="32"/>
        </w:rPr>
        <w:t>5</w:t>
      </w:r>
      <w:r>
        <w:rPr>
          <w:rFonts w:ascii="仿宋_GB2312" w:hAnsi="Times New Roman" w:eastAsia="仿宋_GB2312"/>
          <w:sz w:val="32"/>
          <w:szCs w:val="32"/>
        </w:rPr>
        <w:t>分，超过10%部分每增加</w:t>
      </w:r>
      <w:r>
        <w:rPr>
          <w:rFonts w:hint="eastAsia" w:ascii="仿宋_GB2312" w:hAnsi="Times New Roman" w:eastAsia="仿宋_GB2312"/>
          <w:sz w:val="32"/>
          <w:szCs w:val="32"/>
        </w:rPr>
        <w:t>1</w:t>
      </w:r>
      <w:r>
        <w:rPr>
          <w:rFonts w:ascii="仿宋_GB2312" w:hAnsi="Times New Roman" w:eastAsia="仿宋_GB2312"/>
          <w:sz w:val="32"/>
          <w:szCs w:val="32"/>
        </w:rPr>
        <w:t>亿元加1分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spacing w:line="560" w:lineRule="exact"/>
        <w:ind w:firstLine="652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3.以上两项得分总和</w:t>
      </w:r>
      <w:r>
        <w:rPr>
          <w:rFonts w:hint="eastAsia" w:ascii="仿宋_GB2312" w:hAnsi="Times New Roman" w:eastAsia="仿宋_GB2312"/>
          <w:sz w:val="32"/>
          <w:szCs w:val="32"/>
        </w:rPr>
        <w:t>35</w:t>
      </w:r>
      <w:r>
        <w:rPr>
          <w:rFonts w:ascii="仿宋_GB2312" w:hAnsi="Times New Roman" w:eastAsia="仿宋_GB2312"/>
          <w:sz w:val="32"/>
          <w:szCs w:val="32"/>
        </w:rPr>
        <w:t>分封顶。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　</w:t>
      </w:r>
      <w:r>
        <w:rPr>
          <w:rFonts w:ascii="黑体" w:hAnsi="黑体" w:eastAsia="黑体"/>
          <w:sz w:val="32"/>
          <w:szCs w:val="32"/>
        </w:rPr>
        <w:t>　二、纳税指标（35分）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（一）</w:t>
      </w:r>
      <w:r>
        <w:rPr>
          <w:rFonts w:ascii="仿宋_GB2312" w:hAnsi="Times New Roman" w:eastAsia="仿宋_GB2312"/>
          <w:sz w:val="32"/>
          <w:szCs w:val="32"/>
        </w:rPr>
        <w:t>企业在本市年纳税总额超过</w:t>
      </w:r>
      <w:r>
        <w:rPr>
          <w:rFonts w:hint="eastAsia" w:ascii="仿宋_GB2312" w:hAnsi="Times New Roman" w:eastAsia="仿宋_GB2312"/>
          <w:sz w:val="32"/>
          <w:szCs w:val="32"/>
        </w:rPr>
        <w:t>10</w:t>
      </w:r>
      <w:r>
        <w:rPr>
          <w:rFonts w:ascii="仿宋_GB2312" w:hAnsi="Times New Roman" w:eastAsia="仿宋_GB2312"/>
          <w:sz w:val="32"/>
          <w:szCs w:val="32"/>
        </w:rPr>
        <w:t>00万元得</w:t>
      </w:r>
      <w:r>
        <w:rPr>
          <w:rFonts w:hint="eastAsia" w:ascii="仿宋_GB2312" w:hAnsi="Times New Roman" w:eastAsia="仿宋_GB2312"/>
          <w:sz w:val="32"/>
          <w:szCs w:val="32"/>
        </w:rPr>
        <w:t>5</w:t>
      </w:r>
      <w:r>
        <w:rPr>
          <w:rFonts w:ascii="仿宋_GB2312" w:hAnsi="Times New Roman" w:eastAsia="仿宋_GB2312"/>
          <w:sz w:val="32"/>
          <w:szCs w:val="32"/>
        </w:rPr>
        <w:t>分，超过</w:t>
      </w:r>
      <w:r>
        <w:rPr>
          <w:rFonts w:hint="eastAsia" w:ascii="仿宋_GB2312" w:hAnsi="Times New Roman" w:eastAsia="仿宋_GB2312"/>
          <w:sz w:val="32"/>
          <w:szCs w:val="32"/>
        </w:rPr>
        <w:t>10</w:t>
      </w:r>
      <w:r>
        <w:rPr>
          <w:rFonts w:ascii="仿宋_GB2312" w:hAnsi="Times New Roman" w:eastAsia="仿宋_GB2312"/>
          <w:sz w:val="32"/>
          <w:szCs w:val="32"/>
        </w:rPr>
        <w:t>00万元部分每增加100万元加1分。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（二）</w:t>
      </w:r>
      <w:r>
        <w:rPr>
          <w:rFonts w:ascii="仿宋_GB2312" w:hAnsi="Times New Roman" w:eastAsia="仿宋_GB2312"/>
          <w:sz w:val="32"/>
          <w:szCs w:val="32"/>
        </w:rPr>
        <w:t>以上得分总和</w:t>
      </w:r>
      <w:r>
        <w:rPr>
          <w:rFonts w:hint="eastAsia" w:ascii="仿宋_GB2312" w:hAnsi="Times New Roman" w:eastAsia="仿宋_GB2312"/>
          <w:sz w:val="32"/>
          <w:szCs w:val="32"/>
        </w:rPr>
        <w:t>35</w:t>
      </w:r>
      <w:r>
        <w:rPr>
          <w:rFonts w:ascii="仿宋_GB2312" w:hAnsi="Times New Roman" w:eastAsia="仿宋_GB2312"/>
          <w:sz w:val="32"/>
          <w:szCs w:val="32"/>
        </w:rPr>
        <w:t>分封顶。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三、市场诚信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ascii="黑体" w:hAnsi="黑体" w:eastAsia="黑体"/>
          <w:sz w:val="32"/>
          <w:szCs w:val="32"/>
        </w:rPr>
        <w:t>30分</w:t>
      </w:r>
      <w:r>
        <w:rPr>
          <w:rFonts w:hint="eastAsia" w:ascii="黑体" w:hAnsi="黑体" w:eastAsia="黑体"/>
          <w:sz w:val="32"/>
          <w:szCs w:val="32"/>
        </w:rPr>
        <w:t>）</w:t>
      </w:r>
    </w:p>
    <w:p>
      <w:pPr>
        <w:spacing w:line="560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　　</w:t>
      </w:r>
      <w:r>
        <w:rPr>
          <w:rFonts w:hint="eastAsia" w:ascii="仿宋_GB2312" w:hAnsi="Times New Roman" w:eastAsia="仿宋_GB2312"/>
          <w:sz w:val="32"/>
          <w:szCs w:val="32"/>
        </w:rPr>
        <w:t>（一）</w:t>
      </w:r>
      <w:r>
        <w:rPr>
          <w:rFonts w:ascii="仿宋_GB2312" w:hAnsi="Times New Roman" w:eastAsia="仿宋_GB2312"/>
          <w:sz w:val="32"/>
          <w:szCs w:val="32"/>
        </w:rPr>
        <w:t>近两年未发生重大工程质量事故、伤亡安全生产事故和拖欠农民工工资问题，</w:t>
      </w:r>
      <w:r>
        <w:rPr>
          <w:rFonts w:hint="eastAsia" w:ascii="仿宋_GB2312" w:hAnsi="Times New Roman" w:eastAsia="仿宋_GB2312"/>
          <w:sz w:val="32"/>
          <w:szCs w:val="32"/>
        </w:rPr>
        <w:t>得15</w:t>
      </w:r>
      <w:r>
        <w:rPr>
          <w:rFonts w:ascii="仿宋_GB2312" w:hAnsi="Times New Roman" w:eastAsia="仿宋_GB2312"/>
          <w:sz w:val="32"/>
          <w:szCs w:val="32"/>
        </w:rPr>
        <w:t>分。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二）2019年度建筑企业信用评价等级A类得15分，等级B类得10分。部分建筑资质企业所在辖区未开展信用评价的，按属地原则，由辖区住建局核准该企业年度行政处罚情况，无行政处罚加10分，每发生一起扣减5分，直至0分为止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（三）</w:t>
      </w:r>
      <w:r>
        <w:rPr>
          <w:rFonts w:ascii="仿宋_GB2312" w:hAnsi="Times New Roman" w:eastAsia="仿宋_GB2312"/>
          <w:sz w:val="32"/>
          <w:szCs w:val="32"/>
        </w:rPr>
        <w:t>以上两项得分总和30分封顶。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HanWangKanTa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anWangKanTan">
    <w:panose1 w:val="02000500000000000000"/>
    <w:charset w:val="88"/>
    <w:family w:val="auto"/>
    <w:pitch w:val="default"/>
    <w:sig w:usb0="800000E3" w:usb1="38C9787A" w:usb2="00000016" w:usb3="00000000" w:csb0="00100000" w:csb1="8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07036"/>
    <w:rsid w:val="12E95FCC"/>
    <w:rsid w:val="57BA2319"/>
    <w:rsid w:val="7940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2020-01-16T03:27:00Z</dcterms:created>
  <dc:creator>瑾荷xiu</dc:creator>
  <cp:lastModifiedBy>瑾荷xiu</cp:lastModifiedBy>
  <dcterms:modified xsi:type="dcterms:W3CDTF">2020-01-16T03:30:11Z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